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rsidTr="005214CF">
        <w:trPr>
          <w:trHeight w:val="1706"/>
        </w:trPr>
        <w:tc>
          <w:tcPr>
            <w:tcW w:w="10314" w:type="dxa"/>
            <w:tcBorders>
              <w:bottom w:val="single" w:sz="12" w:space="0" w:color="auto"/>
            </w:tcBorders>
          </w:tcPr>
          <w:p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bookmarkStart w:id="0" w:name="_GoBack"/>
            <w:bookmarkEnd w:id="0"/>
          </w:p>
          <w:p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p>
          <w:p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476E94" w:rsidRPr="00150B6C" w:rsidRDefault="00476E94" w:rsidP="007A2F2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 xml:space="preserve">Author: </w:t>
            </w:r>
            <w:r w:rsidR="0022728E" w:rsidRPr="00150B6C">
              <w:rPr>
                <w:rFonts w:ascii="Times New Roman" w:eastAsia="#신명조" w:hAnsi="Times New Roman" w:cs="Times New Roman"/>
                <w:color w:val="000000"/>
                <w:kern w:val="0"/>
                <w:sz w:val="24"/>
                <w:szCs w:val="24"/>
              </w:rPr>
              <w:t>First Author</w:t>
            </w:r>
            <w:r w:rsidRPr="00150B6C">
              <w:rPr>
                <w:rFonts w:ascii="Times New Roman" w:eastAsia="#신명조" w:hAnsi="Times New Roman" w:cs="Times New Roman"/>
                <w:color w:val="000000"/>
                <w:kern w:val="0"/>
                <w:sz w:val="24"/>
                <w:szCs w:val="24"/>
                <w:vertAlign w:val="superscript"/>
              </w:rPr>
              <w:t>1</w:t>
            </w:r>
            <w:r w:rsidRPr="00150B6C">
              <w:rPr>
                <w:rFonts w:ascii="MS Mincho" w:eastAsia="MS Mincho" w:hAnsi="MS Mincho" w:cs="MS Mincho" w:hint="eastAsia"/>
                <w:color w:val="000000"/>
                <w:kern w:val="0"/>
                <w:sz w:val="24"/>
                <w:szCs w:val="24"/>
              </w:rPr>
              <w:t>․</w:t>
            </w:r>
            <w:r w:rsidR="0022728E"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00A63DEC">
              <w:rPr>
                <w:rFonts w:ascii="Times New Roman" w:eastAsia="#신명조" w:hAnsi="Times New Roman" w:cs="Times New Roman"/>
                <w:color w:val="000000"/>
                <w:kern w:val="0"/>
                <w:sz w:val="24"/>
                <w:szCs w:val="24"/>
                <w:vertAlign w:val="superscript"/>
              </w:rPr>
              <w:t>*</w:t>
            </w:r>
            <w:r w:rsidRPr="00150B6C">
              <w:rPr>
                <w:rFonts w:ascii="Times New Roman" w:eastAsia="#신명조" w:hAnsi="Times New Roman" w:cs="Times New Roman"/>
                <w:color w:val="000000"/>
                <w:kern w:val="0"/>
                <w:sz w:val="24"/>
                <w:szCs w:val="24"/>
              </w:rPr>
              <w:t xml:space="preserve"> (Font: </w:t>
            </w:r>
            <w:r w:rsidR="00150B6C" w:rsidRPr="00150B6C">
              <w:rPr>
                <w:rFonts w:ascii="Times New Roman" w:eastAsia="#신명조" w:hAnsi="Times New Roman" w:cs="Times New Roman"/>
                <w:color w:val="000000"/>
                <w:kern w:val="0"/>
                <w:sz w:val="24"/>
                <w:szCs w:val="24"/>
              </w:rPr>
              <w:t>Times New Roman</w:t>
            </w:r>
            <w:r w:rsidRPr="00150B6C">
              <w:rPr>
                <w:rFonts w:ascii="Times New Roman" w:eastAsia="#신명조" w:hAnsi="Times New Roman" w:cs="Times New Roman"/>
                <w:color w:val="000000"/>
                <w:kern w:val="0"/>
                <w:sz w:val="24"/>
                <w:szCs w:val="24"/>
              </w:rPr>
              <w:t>, Font size: 1</w:t>
            </w:r>
            <w:r w:rsidR="005214CF" w:rsidRPr="00150B6C">
              <w:rPr>
                <w:rFonts w:ascii="Times New Roman" w:eastAsia="#신명조" w:hAnsi="Times New Roman" w:cs="Times New Roman"/>
                <w:color w:val="000000"/>
                <w:kern w:val="0"/>
                <w:sz w:val="24"/>
                <w:szCs w:val="24"/>
              </w:rPr>
              <w:t>2</w:t>
            </w:r>
            <w:r w:rsidRPr="00150B6C">
              <w:rPr>
                <w:rFonts w:ascii="Times New Roman" w:eastAsia="#신명조" w:hAnsi="Times New Roman" w:cs="Times New Roman"/>
                <w:color w:val="000000"/>
                <w:kern w:val="0"/>
                <w:sz w:val="24"/>
                <w:szCs w:val="24"/>
              </w:rPr>
              <w:t xml:space="preserve">) </w:t>
            </w:r>
          </w:p>
          <w:p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rsidTr="005214CF">
        <w:trPr>
          <w:trHeight w:val="307"/>
        </w:trPr>
        <w:tc>
          <w:tcPr>
            <w:tcW w:w="10314" w:type="dxa"/>
            <w:tcBorders>
              <w:top w:val="single" w:sz="12" w:space="0" w:color="auto"/>
              <w:bottom w:val="single" w:sz="2" w:space="0" w:color="auto"/>
            </w:tcBorders>
          </w:tcPr>
          <w:p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rsidTr="005214CF">
        <w:trPr>
          <w:trHeight w:val="3232"/>
        </w:trPr>
        <w:tc>
          <w:tcPr>
            <w:tcW w:w="10314" w:type="dxa"/>
            <w:tcBorders>
              <w:top w:val="single" w:sz="2" w:space="0" w:color="auto"/>
              <w:bottom w:val="single" w:sz="2" w:space="0" w:color="auto"/>
            </w:tcBorders>
          </w:tcPr>
          <w:p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p w:rsidR="00821AE0" w:rsidRPr="005214CF" w:rsidRDefault="00034AFE" w:rsidP="003D044A">
      <w:pPr>
        <w:pStyle w:val="hs1"/>
        <w:spacing w:line="276" w:lineRule="auto"/>
        <w:jc w:val="right"/>
        <w:rPr>
          <w:rFonts w:ascii="Times New Roman" w:eastAsia="굴림" w:hAnsi="Times New Roman" w:cs="Times New Roman"/>
          <w:sz w:val="19"/>
          <w:szCs w:val="19"/>
        </w:rPr>
      </w:pPr>
      <w:r w:rsidRPr="005214CF">
        <w:rPr>
          <w:rFonts w:ascii="Times New Roman" w:hAnsi="Times New Roman" w:cs="Times New Roman"/>
          <w:sz w:val="19"/>
          <w:szCs w:val="19"/>
        </w:rPr>
        <w:t xml:space="preserve"> </w:t>
      </w:r>
      <w:r w:rsidR="00821AE0" w:rsidRPr="005214CF">
        <w:rPr>
          <w:rFonts w:ascii="Times New Roman" w:eastAsia="굴림" w:hAnsi="Times New Roman" w:cs="Times New Roman"/>
          <w:sz w:val="19"/>
          <w:szCs w:val="19"/>
        </w:rPr>
        <w:t xml:space="preserve">http://dx.doi.org/10.5515/JKIEES.000.00.0.0 </w:t>
      </w:r>
    </w:p>
    <w:p w:rsidR="00821AE0" w:rsidRPr="005214CF" w:rsidRDefault="00821AE0" w:rsidP="003D044A">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ISSN 2234-8395 (online) ∙ ISSN 2234-8409 (Print)</w:t>
      </w:r>
    </w:p>
    <w:p w:rsidR="00CF7841" w:rsidRDefault="00CF7841" w:rsidP="00CF7841">
      <w:pPr>
        <w:rPr>
          <w:rFonts w:ascii="Times New Roman" w:hAnsi="Times New Roman" w:cs="Times New Roman"/>
        </w:rPr>
      </w:pPr>
    </w:p>
    <w:p w:rsidR="00126570" w:rsidRPr="00034AFE" w:rsidRDefault="00126570" w:rsidP="00CF7841">
      <w:pPr>
        <w:rPr>
          <w:rFonts w:ascii="Times New Roman" w:hAnsi="Times New Roman" w:cs="Times New Roman"/>
        </w:rPr>
      </w:pPr>
    </w:p>
    <w:p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r w:rsidRPr="00384BCA">
        <w:rPr>
          <w:rFonts w:ascii="바탕" w:eastAsia="바탕" w:hAnsi="바탕" w:cs="바탕" w:hint="eastAsia"/>
          <w:sz w:val="21"/>
          <w:szCs w:val="21"/>
        </w:rPr>
        <w:t>Ⅰ</w:t>
      </w:r>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rsidTr="0033609D">
        <w:trPr>
          <w:trHeight w:val="1412"/>
        </w:trPr>
        <w:tc>
          <w:tcPr>
            <w:tcW w:w="10004" w:type="dxa"/>
          </w:tcPr>
          <w:p w:rsidR="00A63DEC" w:rsidRPr="00126570" w:rsidRDefault="00A63DEC" w:rsidP="00A63DEC">
            <w:pPr>
              <w:pStyle w:val="hs1"/>
              <w:pBdr>
                <w:top w:val="single" w:sz="4" w:space="1" w:color="auto"/>
                <w:bottom w:val="single" w:sz="4" w:space="1" w:color="auto"/>
              </w:pBdr>
              <w:spacing w:line="276" w:lineRule="auto"/>
              <w:rPr>
                <w:rFonts w:ascii="Times New Roman" w:eastAsia="#신명조" w:hAnsi="Times New Roman" w:cs="Times New Roman"/>
                <w:sz w:val="16"/>
                <w:szCs w:val="16"/>
              </w:rPr>
            </w:pPr>
            <w:r w:rsidRPr="00126570">
              <w:rPr>
                <w:rFonts w:ascii="Times New Roman" w:eastAsia="#신명조" w:hAnsi="Times New Roman" w:cs="Times New Roman"/>
                <w:sz w:val="16"/>
                <w:szCs w:val="16"/>
              </w:rPr>
              <w:t xml:space="preserve">Manuscript received October 00, 0000 ; </w:t>
            </w:r>
            <w:r w:rsidRPr="00126570">
              <w:rPr>
                <w:rFonts w:ascii="Times New Roman" w:eastAsia="#신명조" w:hAnsi="Times New Roman" w:cs="Times New Roman" w:hint="eastAsia"/>
                <w:sz w:val="16"/>
                <w:szCs w:val="16"/>
              </w:rPr>
              <w:t>R</w:t>
            </w:r>
            <w:r w:rsidRPr="00126570">
              <w:rPr>
                <w:rFonts w:ascii="Times New Roman" w:eastAsia="#신명조" w:hAnsi="Times New Roman" w:cs="Times New Roman"/>
                <w:sz w:val="16"/>
                <w:szCs w:val="16"/>
              </w:rPr>
              <w:t>evised December 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 xml:space="preserve">Accepted January 00,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(ID No.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0000000-000J</w:t>
            </w:r>
            <w:r w:rsidRPr="00126570">
              <w:rPr>
                <w:rFonts w:ascii="Times New Roman" w:eastAsia="굴림" w:hAnsi="Times New Roman" w:cs="Times New Roman"/>
                <w:sz w:val="16"/>
                <w:szCs w:val="16"/>
              </w:rPr>
              <w:t xml:space="preserve">) </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1</w:t>
            </w:r>
            <w:r>
              <w:rPr>
                <w:rFonts w:ascii="Times New Roman" w:eastAsia="#신명조" w:hAnsi="Times New Roman" w:cs="Times New Roman" w:hint="eastAsia"/>
                <w:color w:val="000000"/>
                <w:kern w:val="0"/>
                <w:sz w:val="16"/>
                <w:szCs w:val="16"/>
              </w:rPr>
              <w:t>A</w:t>
            </w:r>
            <w:r>
              <w:rPr>
                <w:rFonts w:ascii="Times New Roman" w:eastAsia="#신명조" w:hAnsi="Times New Roman" w:cs="Times New Roman"/>
                <w:color w:val="000000"/>
                <w:kern w:val="0"/>
                <w:sz w:val="16"/>
                <w:szCs w:val="16"/>
              </w:rPr>
              <w:t>ffiliation for First Author (D</w:t>
            </w:r>
            <w:r>
              <w:rPr>
                <w:rFonts w:ascii="Times New Roman" w:eastAsia="#신명조" w:hAnsi="Times New Roman" w:cs="Times New Roman" w:hint="eastAsia"/>
                <w:color w:val="000000"/>
                <w:kern w:val="0"/>
                <w:sz w:val="16"/>
                <w:szCs w:val="16"/>
              </w:rPr>
              <w:t>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 or</w:t>
            </w:r>
            <w:r>
              <w:rPr>
                <w:rFonts w:ascii="Times New Roman" w:eastAsia="#신명조" w:hAnsi="Times New Roman" w:cs="Times New Roman" w:hint="eastAsia"/>
                <w:color w:val="000000"/>
                <w:kern w:val="0"/>
                <w:sz w:val="16"/>
                <w:szCs w:val="16"/>
              </w:rPr>
              <w:t xml:space="preserve"> 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Pr>
                <w:rFonts w:ascii="Times New Roman" w:eastAsia="#신명조" w:hAnsi="Times New Roman" w:cs="Times New Roman"/>
                <w:color w:val="000000"/>
                <w:kern w:val="0"/>
                <w:sz w:val="16"/>
                <w:szCs w:val="16"/>
                <w:vertAlign w:val="superscript"/>
              </w:rPr>
              <w:t>2</w:t>
            </w:r>
            <w:r>
              <w:rPr>
                <w:rFonts w:ascii="Times New Roman" w:eastAsia="#신명조" w:hAnsi="Times New Roman" w:cs="Times New Roman" w:hint="eastAsia"/>
                <w:color w:val="000000"/>
                <w:kern w:val="0"/>
                <w:sz w:val="16"/>
                <w:szCs w:val="16"/>
              </w:rPr>
              <w:t>A</w:t>
            </w:r>
            <w:r>
              <w:rPr>
                <w:rFonts w:ascii="Times New Roman" w:eastAsia="#신명조" w:hAnsi="Times New Roman" w:cs="Times New Roman"/>
                <w:color w:val="000000"/>
                <w:kern w:val="0"/>
                <w:sz w:val="16"/>
                <w:szCs w:val="16"/>
              </w:rPr>
              <w:t>ffiliation for Second Author (D</w:t>
            </w:r>
            <w:r>
              <w:rPr>
                <w:rFonts w:ascii="Times New Roman" w:eastAsia="#신명조" w:hAnsi="Times New Roman" w:cs="Times New Roman" w:hint="eastAsia"/>
                <w:color w:val="000000"/>
                <w:kern w:val="0"/>
                <w:sz w:val="16"/>
                <w:szCs w:val="16"/>
              </w:rPr>
              <w:t>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 or</w:t>
            </w:r>
            <w:r>
              <w:rPr>
                <w:rFonts w:ascii="Times New Roman" w:eastAsia="#신명조" w:hAnsi="Times New Roman" w:cs="Times New Roman" w:hint="eastAsia"/>
                <w:color w:val="000000"/>
                <w:kern w:val="0"/>
                <w:sz w:val="16"/>
                <w:szCs w:val="16"/>
              </w:rPr>
              <w:t xml:space="preserve"> 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Pr>
                <w:rFonts w:ascii="Times New Roman" w:eastAsia="#신명조" w:hAnsi="Times New Roman" w:cs="Times New Roman"/>
                <w:color w:val="000000"/>
                <w:kern w:val="0"/>
                <w:sz w:val="16"/>
                <w:szCs w:val="16"/>
              </w:rPr>
              <w:t>.)</w:t>
            </w:r>
            <w:r w:rsidRPr="00126570">
              <w:rPr>
                <w:rFonts w:ascii="Times New Roman" w:eastAsia="#신명조" w:hAnsi="Times New Roman" w:cs="Times New Roman"/>
                <w:color w:val="000000"/>
                <w:kern w:val="0"/>
                <w:sz w:val="16"/>
                <w:szCs w:val="16"/>
              </w:rPr>
              <w:t xml:space="preserve"> </w:t>
            </w:r>
          </w:p>
          <w:p w:rsidR="00A63DEC" w:rsidRPr="00126570" w:rsidRDefault="00A63DEC"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4B1322">
              <w:rPr>
                <w:rFonts w:ascii="Times New Roman" w:eastAsia="#신명조" w:hAnsi="Times New Roman" w:cs="Times New Roman"/>
                <w:color w:val="000000"/>
                <w:kern w:val="0"/>
                <w:sz w:val="16"/>
                <w:szCs w:val="16"/>
                <w:vertAlign w:val="superscript"/>
              </w:rPr>
              <w:t>*</w:t>
            </w:r>
            <w:r w:rsidRPr="00126570">
              <w:rPr>
                <w:rFonts w:ascii="Times New Roman" w:eastAsia="#신명조" w:hAnsi="Times New Roman" w:cs="Times New Roman"/>
                <w:color w:val="000000"/>
                <w:kern w:val="0"/>
                <w:sz w:val="16"/>
                <w:szCs w:val="16"/>
              </w:rPr>
              <w:t>Corresponding Author:</w:t>
            </w:r>
            <w:r>
              <w:rPr>
                <w:rFonts w:ascii="Times New Roman" w:eastAsia="#신명조" w:hAnsi="Times New Roman" w:cs="Times New Roman"/>
                <w:color w:val="000000"/>
                <w:kern w:val="0"/>
                <w:sz w:val="16"/>
                <w:szCs w:val="16"/>
              </w:rPr>
              <w:t xml:space="preserve"> name (email:     )</w:t>
            </w:r>
          </w:p>
          <w:p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by-nc/3.0) which permits unrestricted non-commercial use, distribution, and reproduction in any medium, provided the original work is properly cited.</w:t>
            </w:r>
          </w:p>
        </w:tc>
      </w:tr>
    </w:tbl>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color w:val="000000"/>
          <w:kern w:val="0"/>
          <w:sz w:val="21"/>
          <w:szCs w:val="21"/>
        </w:rPr>
        <w:t>address</w:t>
      </w:r>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 should also be written within 12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Equation numbers should be given in Arabic numerals enclosed in parentheses on the right-hand margin. They should be cited in the text as, for example Eq. (1) or Eqs. (1)-(3).</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r w:rsidRPr="00C60C1F">
        <w:rPr>
          <w:rFonts w:ascii="Times New Roman" w:eastAsia="바탕" w:hAnsi="Times New Roman" w:cs="Times New Roman"/>
          <w:sz w:val="21"/>
          <w:szCs w:val="21"/>
          <w:shd w:val="clear" w:color="auto" w:fill="FFFFFF"/>
          <w:vertAlign w:val="superscript"/>
        </w:rPr>
        <w:t xml:space="preserve">a,b,c... </w:t>
      </w:r>
      <w:r w:rsidRPr="00C60C1F">
        <w:rPr>
          <w:rFonts w:ascii="Times New Roman" w:eastAsia="바탕" w:hAnsi="Times New Roman" w:cs="Times New Roman"/>
          <w:sz w:val="21"/>
          <w:szCs w:val="21"/>
          <w:shd w:val="clear" w:color="auto" w:fill="FFFFFF"/>
        </w:rPr>
        <w:t>for special remarks.</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Giannini and G. Leuzzi, </w:t>
      </w:r>
      <w:r w:rsidRPr="00384BCA">
        <w:rPr>
          <w:rFonts w:ascii="Times New Roman" w:eastAsia="맑은 고딕" w:hAnsi="Times New Roman" w:cs="Times New Roman"/>
          <w:i/>
          <w:iCs/>
          <w:sz w:val="21"/>
          <w:szCs w:val="21"/>
          <w:shd w:val="clear" w:color="auto" w:fill="FFFFFF"/>
        </w:rPr>
        <w:t xml:space="preserve">Nonlinear Microwave Circuit Design. </w:t>
      </w:r>
      <w:r w:rsidRPr="00384BCA">
        <w:rPr>
          <w:rFonts w:ascii="Times New Roman" w:eastAsia="맑은 고딕" w:hAnsi="Times New Roman" w:cs="Times New Roman"/>
          <w:sz w:val="21"/>
          <w:szCs w:val="21"/>
          <w:shd w:val="clear" w:color="auto" w:fill="FFFFFF"/>
        </w:rPr>
        <w:t>NewYork, NY: John Wiley &amp; Sons Inc., 2004.</w:t>
      </w:r>
    </w:p>
    <w:p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Ahn and B. Kim, "Equivalent transmission-line</w:t>
      </w:r>
    </w:p>
    <w:p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drawing>
          <wp:inline distT="0" distB="0" distL="0" distR="0" wp14:anchorId="4A860948" wp14:editId="131EF570">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rsidR="00C5545D" w:rsidRDefault="00C5545D" w:rsidP="00C5545D">
      <w:pPr>
        <w:pStyle w:val="MS"/>
        <w:spacing w:after="0"/>
        <w:rPr>
          <w:rFonts w:ascii="Times New Roman" w:eastAsia="맑은 고딕" w:hAnsi="Times New Roman" w:cs="Times New Roman"/>
          <w:b/>
          <w:bCs/>
          <w:sz w:val="21"/>
          <w:szCs w:val="21"/>
          <w:shd w:val="clear" w:color="auto" w:fill="FFFFFF"/>
        </w:rPr>
      </w:pPr>
    </w:p>
    <w:p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[3] E. E. Reber, R. L. Michell,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Bingulac, "On the compatibility of adaptive controllers," in </w:t>
      </w:r>
      <w:r w:rsidRPr="00384BCA">
        <w:rPr>
          <w:rFonts w:ascii="Times New Roman" w:eastAsia="맑은 고딕" w:hAnsi="Times New Roman" w:cs="Times New Roman"/>
          <w:i/>
          <w:iCs/>
          <w:sz w:val="21"/>
          <w:szCs w:val="21"/>
          <w:shd w:val="clear" w:color="auto" w:fill="FFFFFF"/>
        </w:rPr>
        <w:t>Proceedings of the 4th Annual Allerton Conference on Circuit and System Theory</w:t>
      </w:r>
      <w:r w:rsidRPr="00384BCA">
        <w:rPr>
          <w:rFonts w:ascii="Times New Roman" w:eastAsia="맑은 고딕" w:hAnsi="Times New Roman" w:cs="Times New Roman"/>
          <w:sz w:val="21"/>
          <w:szCs w:val="21"/>
          <w:shd w:val="clear" w:color="auto" w:fill="FFFFFF"/>
        </w:rPr>
        <w:t>, NewYork, pp. 8-16, 1994.</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[5] J. G. Kreifeldt, "An analysis of surface-detected EMG as an amplitude-modulated noise," presented at the 8th International Conference on Medical and Biological Engineering, Chicago, IL, 1969.</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[6] J. Arrillaga and B. Giessner, "Limitation of short-circuit levels by means of HVDC links," presented at the IEEE Summer Power Meeting, Los Angeles, CA, Jul. 1990.</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[7] N. Kawasaki, "Parametric study of thermal and chemical nonequilibrium nozzle flow," M.S. thesis, Department of Electronic Engineering, Osaka University, Osaka, Japan, 1993.</w:t>
      </w:r>
    </w:p>
    <w:p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02E9C567" wp14:editId="5D46B996">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3"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r w:rsidRPr="00384BCA">
        <w:rPr>
          <w:rFonts w:ascii="바탕" w:eastAsia="바탕" w:hAnsi="바탕" w:cs="바탕" w:hint="eastAsia"/>
          <w:color w:val="000000"/>
          <w:sz w:val="21"/>
          <w:szCs w:val="21"/>
        </w:rPr>
        <w:t>Ⅱ</w:t>
      </w:r>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J. Electromagn. Eng. Sci</w:t>
      </w:r>
      <w:r w:rsidR="00C60C1F" w:rsidRPr="00405AD5">
        <w:rPr>
          <w:rFonts w:ascii="Times New Roman" w:eastAsia="한양신명조" w:hAnsi="Times New Roman" w:cs="Times New Roman"/>
          <w:sz w:val="21"/>
          <w:szCs w:val="21"/>
          <w:shd w:val="clear" w:color="auto" w:fill="FFFFFF"/>
        </w:rPr>
        <w:t>.</w:t>
      </w:r>
    </w:p>
    <w:p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rsidTr="00613A88">
        <w:trPr>
          <w:trHeight w:val="299"/>
        </w:trPr>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Mij</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rsidTr="00613A88">
        <w:trPr>
          <w:trHeight w:val="299"/>
        </w:trPr>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rsidTr="00613A88">
        <w:trPr>
          <w:trHeight w:val="299"/>
        </w:trPr>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1" w:name="#1522497914"/>
      <w:bookmarkEnd w:id="1"/>
    </w:p>
    <w:p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wk (week), mo (month), y (year), </w:t>
      </w:r>
      <w:r w:rsidRPr="00C60C1F">
        <w:rPr>
          <w:rFonts w:ascii="Times New Roman" w:eastAsia="바탕" w:hAnsi="Times New Roman" w:cs="Times New Roman"/>
          <w:color w:val="000000"/>
          <w:kern w:val="0"/>
          <w:sz w:val="21"/>
          <w:szCs w:val="21"/>
          <w:shd w:val="clear" w:color="auto" w:fill="FFFFFF"/>
        </w:rPr>
        <w:t xml:space="preserve">L (liter), mL (milliliter), μL (microliter), g (gram), kg (kilogram), mg (milligram), μg (microgram), ng (nanogram), pg (picogram),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μm (micrometer), mV (millivolt), mA (milliampere), mW (milliwatt), C (coulomb), μF (microfarad), mH (millihenry), n (samplesize), </w:t>
      </w:r>
      <w:r w:rsidRPr="00C60C1F">
        <w:rPr>
          <w:rFonts w:ascii="Times New Roman" w:eastAsia="맑은 고딕" w:hAnsi="Times New Roman" w:cs="Times New Roman"/>
          <w:color w:val="000000"/>
          <w:kern w:val="0"/>
          <w:sz w:val="21"/>
          <w:szCs w:val="21"/>
          <w:shd w:val="clear" w:color="auto" w:fill="FFFFFF"/>
        </w:rPr>
        <w:t xml:space="preserve">SD </w:t>
      </w:r>
    </w:p>
    <w:p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above mentioned page charge. </w:t>
      </w:r>
    </w:p>
    <w:p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rsidTr="00557A3B">
        <w:trPr>
          <w:trHeight w:val="1438"/>
        </w:trPr>
        <w:tc>
          <w:tcPr>
            <w:tcW w:w="4917" w:type="dxa"/>
          </w:tcPr>
          <w:p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2" w:name="#1430751210"/>
            <w:bookmarkStart w:id="3" w:name="#1522497912"/>
            <w:bookmarkEnd w:id="2"/>
            <w:bookmarkEnd w:id="3"/>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Pr="00D8186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586C5B" w:rsidRDefault="00586C5B"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Pr="00B8644E" w:rsidRDefault="00B8644E" w:rsidP="00B8644E">
      <w:pPr>
        <w:widowControl/>
        <w:wordWrap/>
        <w:autoSpaceDE/>
        <w:autoSpaceDN/>
        <w:spacing w:line="360" w:lineRule="auto"/>
        <w:rPr>
          <w:rFonts w:ascii="Times New Roman" w:eastAsia="굴림" w:hAnsi="Times New Roman" w:cs="Times New Roman"/>
          <w:bCs/>
          <w:sz w:val="22"/>
        </w:rPr>
      </w:pPr>
    </w:p>
    <w:tbl>
      <w:tblPr>
        <w:tblW w:w="1170" w:type="dxa"/>
        <w:tblCellMar>
          <w:left w:w="0" w:type="dxa"/>
          <w:right w:w="0" w:type="dxa"/>
        </w:tblCellMar>
        <w:tblLook w:val="04A0" w:firstRow="1" w:lastRow="0" w:firstColumn="1" w:lastColumn="0" w:noHBand="0" w:noVBand="1"/>
      </w:tblPr>
      <w:tblGrid>
        <w:gridCol w:w="1170"/>
      </w:tblGrid>
      <w:tr w:rsidR="00272BC9" w:rsidRPr="00D81865" w:rsidTr="003D170B">
        <w:trPr>
          <w:trHeight w:val="1439"/>
        </w:trPr>
        <w:tc>
          <w:tcPr>
            <w:tcW w:w="0" w:type="auto"/>
            <w:tcBorders>
              <w:top w:val="dotted" w:sz="4" w:space="0" w:color="auto"/>
              <w:left w:val="dotted" w:sz="4" w:space="0" w:color="auto"/>
              <w:bottom w:val="dotted" w:sz="4" w:space="0" w:color="auto"/>
              <w:right w:val="dotted" w:sz="4" w:space="0" w:color="auto"/>
            </w:tcBorders>
            <w:vAlign w:val="center"/>
            <w:hideMark/>
          </w:tcPr>
          <w:p w:rsidR="00272BC9" w:rsidRPr="00D81865" w:rsidRDefault="009B4D30"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hint="eastAsia"/>
                <w:color w:val="000000"/>
                <w:kern w:val="0"/>
                <w:sz w:val="21"/>
                <w:szCs w:val="21"/>
              </w:rPr>
              <w:t xml:space="preserve"> </w:t>
            </w:r>
            <w:r w:rsidR="00272BC9" w:rsidRPr="00D81865">
              <w:rPr>
                <w:rFonts w:ascii="Times New Roman" w:eastAsia="굴림" w:hAnsi="Times New Roman" w:cs="Times New Roman"/>
                <w:sz w:val="21"/>
                <w:szCs w:val="21"/>
              </w:rPr>
              <w:t>photograph</w:t>
            </w:r>
            <w:r w:rsidR="00272BC9" w:rsidRPr="00D81865">
              <w:rPr>
                <w:rFonts w:ascii="Times New Roman" w:eastAsia="굴림" w:hAnsi="Times New Roman" w:cs="Times New Roman"/>
                <w:color w:val="000000"/>
                <w:kern w:val="0"/>
                <w:sz w:val="21"/>
                <w:szCs w:val="21"/>
              </w:rPr>
              <w:t xml:space="preserve"> </w:t>
            </w:r>
          </w:p>
          <w:p w:rsidR="00272BC9" w:rsidRPr="00D81865" w:rsidRDefault="00272BC9"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t>2.5×3.0 cm</w:t>
            </w:r>
          </w:p>
        </w:tc>
      </w:tr>
    </w:tbl>
    <w:p w:rsidR="00272BC9" w:rsidRPr="00D81865" w:rsidRDefault="00272BC9" w:rsidP="00272BC9">
      <w:pPr>
        <w:pStyle w:val="FigureCaption"/>
        <w:rPr>
          <w:b/>
          <w:bCs/>
          <w:sz w:val="21"/>
          <w:szCs w:val="21"/>
          <w:lang w:eastAsia="ko-KR"/>
        </w:rPr>
      </w:pPr>
    </w:p>
    <w:p w:rsidR="00272BC9" w:rsidRPr="00756059" w:rsidRDefault="00B8644E" w:rsidP="00C5371D">
      <w:pPr>
        <w:pStyle w:val="FigureCaption"/>
        <w:spacing w:line="276" w:lineRule="auto"/>
        <w:ind w:firstLineChars="50" w:firstLine="90"/>
        <w:rPr>
          <w:rFonts w:eastAsia="굴림"/>
          <w:sz w:val="18"/>
          <w:szCs w:val="18"/>
        </w:rPr>
      </w:pPr>
      <w:r w:rsidRPr="00756059">
        <w:rPr>
          <w:rFonts w:eastAsia="굴림" w:hint="eastAsia"/>
          <w:sz w:val="18"/>
          <w:szCs w:val="18"/>
          <w:lang w:eastAsia="ko-KR"/>
        </w:rPr>
        <w:t>(</w:t>
      </w:r>
      <w:r w:rsidRPr="00756059">
        <w:rPr>
          <w:rFonts w:eastAsia="#신명조"/>
          <w:color w:val="000000"/>
          <w:sz w:val="18"/>
          <w:szCs w:val="18"/>
        </w:rPr>
        <w:t xml:space="preserve">Font size: </w:t>
      </w:r>
      <w:r w:rsidRPr="00756059">
        <w:rPr>
          <w:rFonts w:eastAsia="#신명조" w:hint="eastAsia"/>
          <w:color w:val="000000"/>
          <w:sz w:val="18"/>
          <w:szCs w:val="18"/>
          <w:lang w:eastAsia="ko-KR"/>
        </w:rPr>
        <w:t>9</w:t>
      </w:r>
      <w:r w:rsidRPr="00756059">
        <w:rPr>
          <w:rFonts w:eastAsia="#신명조"/>
          <w:color w:val="000000"/>
          <w:sz w:val="18"/>
          <w:szCs w:val="18"/>
        </w:rPr>
        <w:t>)</w:t>
      </w:r>
      <w:r>
        <w:rPr>
          <w:rFonts w:eastAsia="#신명조" w:hint="eastAsia"/>
          <w:color w:val="000000"/>
          <w:sz w:val="18"/>
          <w:szCs w:val="18"/>
          <w:lang w:eastAsia="ko-KR"/>
        </w:rPr>
        <w:t xml:space="preserve"> </w:t>
      </w:r>
      <w:r w:rsidR="00272BC9" w:rsidRPr="00C5371D">
        <w:rPr>
          <w:rFonts w:eastAsia="굴림"/>
          <w:b/>
          <w:bCs/>
          <w:sz w:val="18"/>
          <w:szCs w:val="18"/>
        </w:rPr>
        <w:t>First Author</w:t>
      </w:r>
      <w:r w:rsidR="00272BC9" w:rsidRPr="00B8644E">
        <w:rPr>
          <w:rFonts w:eastAsia="굴림"/>
          <w:sz w:val="18"/>
          <w:szCs w:val="18"/>
        </w:rPr>
        <w:t xml:space="preserve"> and the</w:t>
      </w:r>
      <w:r w:rsidR="00272BC9" w:rsidRPr="00756059">
        <w:rPr>
          <w:rFonts w:eastAsia="굴림"/>
          <w:sz w:val="18"/>
          <w:szCs w:val="18"/>
        </w:rPr>
        <w:t xml:space="preserve"> other authors may include biographies at the end of regular papers. The author’s educational background is listed. The degrees should be listed with type of degree in what field, which institution, city, state, and country, and year degree was earned. The author’s major field of study should be lower-cased.</w:t>
      </w:r>
    </w:p>
    <w:p w:rsidR="00272BC9" w:rsidRPr="00756059" w:rsidRDefault="00272BC9" w:rsidP="00756059">
      <w:pPr>
        <w:pStyle w:val="FigureCaption"/>
        <w:spacing w:line="276" w:lineRule="auto"/>
        <w:ind w:firstLineChars="100" w:firstLine="180"/>
        <w:rPr>
          <w:rFonts w:eastAsia="굴림"/>
          <w:sz w:val="18"/>
          <w:szCs w:val="18"/>
        </w:rPr>
      </w:pPr>
      <w:r w:rsidRPr="00756059">
        <w:rPr>
          <w:rFonts w:eastAsia="굴림"/>
          <w:sz w:val="18"/>
          <w:szCs w:val="18"/>
        </w:rPr>
        <w:t>The current job must have a location; previous positions may be listed without one. Information concerning previous publications may be included. Current and previous research interests end the paragraph.</w:t>
      </w:r>
    </w:p>
    <w:p w:rsidR="00272BC9" w:rsidRPr="00756059" w:rsidRDefault="00272BC9" w:rsidP="00756059">
      <w:pPr>
        <w:pStyle w:val="FigureCaption"/>
        <w:spacing w:line="276" w:lineRule="auto"/>
        <w:ind w:firstLineChars="100" w:firstLine="180"/>
        <w:rPr>
          <w:rFonts w:eastAsia="굴림"/>
          <w:sz w:val="18"/>
          <w:szCs w:val="18"/>
          <w:lang w:eastAsia="ko-KR"/>
        </w:rPr>
      </w:pPr>
      <w:r w:rsidRPr="00756059">
        <w:rPr>
          <w:rFonts w:eastAsia="굴림"/>
          <w:sz w:val="18"/>
          <w:szCs w:val="18"/>
        </w:rPr>
        <w:t>If a photograph is provided, the biography will be indented around it. The photograph is placed at the top left of the biography.</w:t>
      </w:r>
      <w:r w:rsidR="00756059" w:rsidRPr="00756059">
        <w:rPr>
          <w:rFonts w:eastAsia="굴림" w:hint="eastAsia"/>
          <w:sz w:val="18"/>
          <w:szCs w:val="18"/>
          <w:lang w:eastAsia="ko-KR"/>
        </w:rPr>
        <w:t xml:space="preserve"> </w:t>
      </w:r>
    </w:p>
    <w:p w:rsidR="00272BC9" w:rsidRPr="00756059" w:rsidRDefault="00272BC9" w:rsidP="00A60D44">
      <w:pPr>
        <w:widowControl/>
        <w:wordWrap/>
        <w:autoSpaceDE/>
        <w:autoSpaceDN/>
        <w:spacing w:line="276" w:lineRule="auto"/>
        <w:ind w:firstLine="195"/>
        <w:rPr>
          <w:rFonts w:eastAsia="굴림"/>
          <w:sz w:val="18"/>
          <w:szCs w:val="18"/>
        </w:rPr>
      </w:pPr>
    </w:p>
    <w:sectPr w:rsidR="00272BC9" w:rsidRPr="00756059"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48" w:rsidRDefault="009B7248" w:rsidP="00E74490">
      <w:r>
        <w:separator/>
      </w:r>
    </w:p>
  </w:endnote>
  <w:endnote w:type="continuationSeparator" w:id="0">
    <w:p w:rsidR="009B7248" w:rsidRDefault="009B7248"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Arial Unicode MS"/>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011"/>
      <w:docPartObj>
        <w:docPartGallery w:val="Page Numbers (Bottom of Page)"/>
        <w:docPartUnique/>
      </w:docPartObj>
    </w:sdtPr>
    <w:sdtEndPr/>
    <w:sdtContent>
      <w:p w:rsidR="007C78BC" w:rsidRDefault="001F629C">
        <w:pPr>
          <w:pStyle w:val="a5"/>
          <w:jc w:val="right"/>
        </w:pPr>
        <w:r>
          <w:fldChar w:fldCharType="begin"/>
        </w:r>
        <w:r>
          <w:instrText xml:space="preserve"> PAGE   \* MERGEFORMAT </w:instrText>
        </w:r>
        <w:r>
          <w:fldChar w:fldCharType="separate"/>
        </w:r>
        <w:r w:rsidR="002B43E3" w:rsidRPr="002B43E3">
          <w:rPr>
            <w:noProof/>
            <w:lang w:val="ko-KR"/>
          </w:rPr>
          <w:t>4</w:t>
        </w:r>
        <w:r>
          <w:rPr>
            <w:noProof/>
            <w:lang w:val="ko-KR"/>
          </w:rPr>
          <w:fldChar w:fldCharType="end"/>
        </w:r>
      </w:p>
    </w:sdtContent>
  </w:sdt>
  <w:p w:rsidR="007C78BC" w:rsidRDefault="007C78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010"/>
      <w:docPartObj>
        <w:docPartGallery w:val="Page Numbers (Bottom of Page)"/>
        <w:docPartUnique/>
      </w:docPartObj>
    </w:sdtPr>
    <w:sdtEndPr/>
    <w:sdtContent>
      <w:p w:rsidR="007C78BC" w:rsidRDefault="001F629C" w:rsidP="00FF2BE5">
        <w:pPr>
          <w:pStyle w:val="a5"/>
          <w:jc w:val="left"/>
        </w:pPr>
        <w:r>
          <w:fldChar w:fldCharType="begin"/>
        </w:r>
        <w:r>
          <w:instrText xml:space="preserve"> PAGE   \* MERGEFORMAT </w:instrText>
        </w:r>
        <w:r>
          <w:fldChar w:fldCharType="separate"/>
        </w:r>
        <w:r w:rsidR="002B43E3">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The Korean Institute of Electromagnetic Engineering and Science. All Rights Reserved.</w:t>
        </w:r>
      </w:p>
    </w:sdtContent>
  </w:sdt>
  <w:p w:rsidR="000D30C1" w:rsidRDefault="000D30C1" w:rsidP="000D30C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48" w:rsidRDefault="009B7248" w:rsidP="00E74490">
      <w:r>
        <w:separator/>
      </w:r>
    </w:p>
  </w:footnote>
  <w:footnote w:type="continuationSeparator" w:id="0">
    <w:p w:rsidR="009B7248" w:rsidRDefault="009B7248" w:rsidP="00E7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00"/>
  <w:evenAndOddHeaders/>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0"/>
    <w:rsid w:val="00014F89"/>
    <w:rsid w:val="000204A3"/>
    <w:rsid w:val="00034AFE"/>
    <w:rsid w:val="000417DD"/>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03A67"/>
    <w:rsid w:val="00222E98"/>
    <w:rsid w:val="002242AE"/>
    <w:rsid w:val="0022728E"/>
    <w:rsid w:val="002723DE"/>
    <w:rsid w:val="00272BC9"/>
    <w:rsid w:val="0028175A"/>
    <w:rsid w:val="0029042F"/>
    <w:rsid w:val="002B43E3"/>
    <w:rsid w:val="002B7A8D"/>
    <w:rsid w:val="0033609D"/>
    <w:rsid w:val="0034501D"/>
    <w:rsid w:val="00350AD3"/>
    <w:rsid w:val="003603C4"/>
    <w:rsid w:val="00384BCA"/>
    <w:rsid w:val="003B5661"/>
    <w:rsid w:val="003C0CB0"/>
    <w:rsid w:val="003C2809"/>
    <w:rsid w:val="003C30F7"/>
    <w:rsid w:val="003D044A"/>
    <w:rsid w:val="003D3091"/>
    <w:rsid w:val="003E579F"/>
    <w:rsid w:val="003E7FB6"/>
    <w:rsid w:val="00401D9C"/>
    <w:rsid w:val="00403148"/>
    <w:rsid w:val="00405AD5"/>
    <w:rsid w:val="004100FF"/>
    <w:rsid w:val="00435062"/>
    <w:rsid w:val="0044525A"/>
    <w:rsid w:val="00450125"/>
    <w:rsid w:val="004713AC"/>
    <w:rsid w:val="00476E94"/>
    <w:rsid w:val="004775AD"/>
    <w:rsid w:val="00480996"/>
    <w:rsid w:val="00490F6F"/>
    <w:rsid w:val="004A3122"/>
    <w:rsid w:val="004A488A"/>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6059"/>
    <w:rsid w:val="00757D33"/>
    <w:rsid w:val="00777586"/>
    <w:rsid w:val="007856D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E2AD6"/>
    <w:rsid w:val="008F039A"/>
    <w:rsid w:val="008F5180"/>
    <w:rsid w:val="009134AA"/>
    <w:rsid w:val="00914951"/>
    <w:rsid w:val="00933853"/>
    <w:rsid w:val="00936324"/>
    <w:rsid w:val="009A08FD"/>
    <w:rsid w:val="009B4D30"/>
    <w:rsid w:val="009B7248"/>
    <w:rsid w:val="00A01610"/>
    <w:rsid w:val="00A3432D"/>
    <w:rsid w:val="00A37115"/>
    <w:rsid w:val="00A45F03"/>
    <w:rsid w:val="00A60D44"/>
    <w:rsid w:val="00A63DEC"/>
    <w:rsid w:val="00A9611B"/>
    <w:rsid w:val="00A963D2"/>
    <w:rsid w:val="00AD7CE7"/>
    <w:rsid w:val="00AE59BB"/>
    <w:rsid w:val="00AE7F6E"/>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371D"/>
    <w:rsid w:val="00C5545D"/>
    <w:rsid w:val="00C60C1F"/>
    <w:rsid w:val="00CC3E69"/>
    <w:rsid w:val="00CD1E63"/>
    <w:rsid w:val="00CD7A0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E2366D"/>
    <w:rsid w:val="00E258E5"/>
    <w:rsid w:val="00E33181"/>
    <w:rsid w:val="00E3688D"/>
    <w:rsid w:val="00E556C6"/>
    <w:rsid w:val="00E74490"/>
    <w:rsid w:val="00E94F9D"/>
    <w:rsid w:val="00EB2114"/>
    <w:rsid w:val="00EC424C"/>
    <w:rsid w:val="00EC4C79"/>
    <w:rsid w:val="00ED3DDA"/>
    <w:rsid w:val="00EE54DA"/>
    <w:rsid w:val="00EF5B59"/>
    <w:rsid w:val="00F215AD"/>
    <w:rsid w:val="00F2642E"/>
    <w:rsid w:val="00F42F79"/>
    <w:rsid w:val="00F505A0"/>
    <w:rsid w:val="00F7750E"/>
    <w:rsid w:val="00F9537E"/>
    <w:rsid w:val="00FC05BB"/>
    <w:rsid w:val="00FC61AE"/>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F03E75-14BB-4F49-84BE-53071F65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dd.luth.se/aber/mud-history.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F2D8-14B6-46E7-A14F-6254627B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9310</Characters>
  <Application>Microsoft Office Word</Application>
  <DocSecurity>4</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10922</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ad</cp:lastModifiedBy>
  <cp:revision>2</cp:revision>
  <cp:lastPrinted>2013-12-18T08:00:00Z</cp:lastPrinted>
  <dcterms:created xsi:type="dcterms:W3CDTF">2018-12-13T02:57:00Z</dcterms:created>
  <dcterms:modified xsi:type="dcterms:W3CDTF">2018-12-13T02:57:00Z</dcterms:modified>
</cp:coreProperties>
</file>